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20EB" w14:textId="77777777" w:rsidR="00CF6F9D" w:rsidRPr="00FC72D0" w:rsidRDefault="00CF6F9D" w:rsidP="00CF6F9D">
      <w:pPr>
        <w:jc w:val="center"/>
        <w:rPr>
          <w:rFonts w:ascii="Times New Roman" w:eastAsia="Times New Roman" w:hAnsi="Times New Roman" w:cs="Times New Roman"/>
          <w:sz w:val="32"/>
          <w:szCs w:val="32"/>
        </w:rPr>
      </w:pPr>
      <w:r w:rsidRPr="00715C21">
        <w:rPr>
          <w:rFonts w:ascii="Times New Roman" w:hAnsi="Times New Roman" w:cs="Times New Roman"/>
          <w:sz w:val="32"/>
          <w:szCs w:val="32"/>
        </w:rPr>
        <w:t>Academic Senate for California Community Colleges</w:t>
      </w:r>
    </w:p>
    <w:p w14:paraId="50FD8873" w14:textId="77777777" w:rsidR="00CF6F9D" w:rsidRPr="00715C21" w:rsidRDefault="00CF6F9D" w:rsidP="00CF6F9D">
      <w:pPr>
        <w:spacing w:after="0"/>
        <w:jc w:val="center"/>
        <w:rPr>
          <w:rFonts w:ascii="Times New Roman" w:hAnsi="Times New Roman" w:cs="Times New Roman"/>
          <w:sz w:val="32"/>
          <w:szCs w:val="32"/>
        </w:rPr>
      </w:pPr>
      <w:r w:rsidRPr="00715C21">
        <w:rPr>
          <w:rFonts w:ascii="Times New Roman" w:hAnsi="Times New Roman" w:cs="Times New Roman"/>
          <w:sz w:val="32"/>
          <w:szCs w:val="32"/>
        </w:rPr>
        <w:t>Event Audio/Video Recording Policy</w:t>
      </w:r>
    </w:p>
    <w:p w14:paraId="29687CA5" w14:textId="77777777" w:rsidR="00CF6F9D" w:rsidRPr="00715C21" w:rsidRDefault="00CF6F9D" w:rsidP="00CF6F9D">
      <w:pPr>
        <w:jc w:val="center"/>
        <w:rPr>
          <w:rFonts w:ascii="Times New Roman" w:hAnsi="Times New Roman" w:cs="Times New Roman"/>
          <w:sz w:val="32"/>
          <w:szCs w:val="32"/>
        </w:rPr>
      </w:pPr>
      <w:r w:rsidRPr="00715C21">
        <w:rPr>
          <w:rFonts w:ascii="Times New Roman" w:hAnsi="Times New Roman" w:cs="Times New Roman"/>
          <w:sz w:val="32"/>
          <w:szCs w:val="32"/>
        </w:rPr>
        <w:t>APPENDIX I DEFINITIONS</w:t>
      </w:r>
    </w:p>
    <w:p w14:paraId="288289C1" w14:textId="77777777" w:rsidR="00CF6F9D" w:rsidRPr="00715C21" w:rsidRDefault="00CF6F9D" w:rsidP="00CF6F9D">
      <w:pPr>
        <w:rPr>
          <w:rFonts w:ascii="Times New Roman" w:hAnsi="Times New Roman" w:cs="Times New Roman"/>
          <w:sz w:val="32"/>
          <w:szCs w:val="32"/>
        </w:rPr>
      </w:pPr>
      <w:r w:rsidRPr="00715C21">
        <w:rPr>
          <w:rFonts w:ascii="Times New Roman" w:hAnsi="Times New Roman" w:cs="Times New Roman"/>
          <w:b/>
          <w:sz w:val="32"/>
          <w:szCs w:val="32"/>
        </w:rPr>
        <w:t>Academic Senate</w:t>
      </w:r>
      <w:r w:rsidRPr="00715C21">
        <w:rPr>
          <w:rFonts w:ascii="Times New Roman" w:hAnsi="Times New Roman" w:cs="Times New Roman"/>
          <w:sz w:val="32"/>
          <w:szCs w:val="32"/>
        </w:rPr>
        <w:t>:  As defined in Title 5 “An Academic Senate for California Community Colleges has been established through ratification by local academic senates or faculty councils so that the community college faculty of California may have a formal and effective procedure for participating in the formation of state policies on academic and professional matters” (Title 5, Section 53206, California Code of Regulations).</w:t>
      </w:r>
    </w:p>
    <w:p w14:paraId="32EB735A" w14:textId="77777777" w:rsidR="00CF6F9D" w:rsidRPr="00715C21" w:rsidRDefault="00CF6F9D" w:rsidP="00CF6F9D">
      <w:pPr>
        <w:rPr>
          <w:rFonts w:ascii="Times New Roman" w:hAnsi="Times New Roman" w:cs="Times New Roman"/>
          <w:sz w:val="32"/>
          <w:szCs w:val="32"/>
        </w:rPr>
      </w:pPr>
      <w:r w:rsidRPr="00715C21">
        <w:rPr>
          <w:rFonts w:ascii="Times New Roman" w:hAnsi="Times New Roman" w:cs="Times New Roman"/>
          <w:b/>
          <w:sz w:val="32"/>
          <w:szCs w:val="32"/>
        </w:rPr>
        <w:t>Faculty Member</w:t>
      </w:r>
      <w:r w:rsidRPr="00715C21">
        <w:rPr>
          <w:rFonts w:ascii="Times New Roman" w:hAnsi="Times New Roman" w:cs="Times New Roman"/>
          <w:sz w:val="32"/>
          <w:szCs w:val="32"/>
        </w:rPr>
        <w:t>:  Any employee of a community college district who is employed in an academic position that is not designated as supervisory or management.</w:t>
      </w:r>
    </w:p>
    <w:p w14:paraId="0DB50D0E" w14:textId="77777777" w:rsidR="00CF6F9D" w:rsidRPr="00715C21" w:rsidRDefault="00CF6F9D" w:rsidP="00CF6F9D">
      <w:pPr>
        <w:spacing w:after="0"/>
        <w:rPr>
          <w:rFonts w:ascii="Times New Roman" w:hAnsi="Times New Roman" w:cs="Times New Roman"/>
          <w:sz w:val="32"/>
          <w:szCs w:val="32"/>
        </w:rPr>
      </w:pPr>
      <w:r w:rsidRPr="00715C21">
        <w:rPr>
          <w:rFonts w:ascii="Times New Roman" w:hAnsi="Times New Roman" w:cs="Times New Roman"/>
          <w:b/>
          <w:sz w:val="32"/>
          <w:szCs w:val="32"/>
        </w:rPr>
        <w:t>Intellectual Property</w:t>
      </w:r>
      <w:r w:rsidRPr="00715C21">
        <w:rPr>
          <w:rFonts w:ascii="Times New Roman" w:hAnsi="Times New Roman" w:cs="Times New Roman"/>
          <w:sz w:val="32"/>
          <w:szCs w:val="32"/>
        </w:rPr>
        <w:t xml:space="preserve"> encompasses numerous forms of intangible personal property. For purposes of this Policy, intellectual property includes but is not limited to copyrights and copyrightable materials, patented and patentable inventions, tangible research property, trademarks, service marks and trade secrets.</w:t>
      </w:r>
    </w:p>
    <w:p w14:paraId="75C27EE4" w14:textId="77777777" w:rsidR="00CF6F9D" w:rsidRPr="00715C21" w:rsidRDefault="00CF6F9D" w:rsidP="00CF6F9D">
      <w:pPr>
        <w:spacing w:after="0"/>
        <w:rPr>
          <w:rFonts w:ascii="Times New Roman" w:hAnsi="Times New Roman" w:cs="Times New Roman"/>
          <w:sz w:val="32"/>
          <w:szCs w:val="32"/>
        </w:rPr>
      </w:pPr>
    </w:p>
    <w:p w14:paraId="418AE27F" w14:textId="77777777" w:rsidR="00CF6F9D" w:rsidRPr="00715C21" w:rsidRDefault="00CF6F9D" w:rsidP="00CF6F9D">
      <w:pPr>
        <w:spacing w:after="0" w:line="240" w:lineRule="auto"/>
        <w:rPr>
          <w:rFonts w:ascii="Times New Roman" w:eastAsia="Times New Roman" w:hAnsi="Times New Roman" w:cs="Times New Roman"/>
          <w:b/>
          <w:sz w:val="32"/>
          <w:szCs w:val="32"/>
          <w:highlight w:val="yellow"/>
        </w:rPr>
      </w:pPr>
      <w:r w:rsidRPr="00715C21">
        <w:rPr>
          <w:rFonts w:ascii="Times New Roman" w:eastAsia="Times New Roman" w:hAnsi="Times New Roman" w:cs="Times New Roman"/>
          <w:b/>
          <w:sz w:val="32"/>
          <w:szCs w:val="32"/>
        </w:rPr>
        <w:t xml:space="preserve">Professional Learning [Development] </w:t>
      </w:r>
      <w:r w:rsidRPr="00715C21">
        <w:rPr>
          <w:rFonts w:ascii="Times New Roman" w:eastAsia="Times New Roman" w:hAnsi="Times New Roman" w:cs="Times New Roman"/>
          <w:sz w:val="32"/>
          <w:szCs w:val="32"/>
        </w:rPr>
        <w:t>in the educational context can be defined as a wide variety of specialized training, formal education, or advanced professional learning intended to help administrators, teachers, and other educators improve their professional knowledge, competence, skill, and effectiveness. Retrieved March 13, 2022, from</w:t>
      </w:r>
    </w:p>
    <w:p w14:paraId="081FEABF" w14:textId="77777777" w:rsidR="00CF6F9D" w:rsidRPr="00715C21" w:rsidRDefault="000F17D5" w:rsidP="00CF6F9D">
      <w:pPr>
        <w:spacing w:after="0" w:line="240" w:lineRule="auto"/>
        <w:outlineLvl w:val="4"/>
        <w:rPr>
          <w:rFonts w:ascii="Times New Roman" w:eastAsia="Times New Roman" w:hAnsi="Times New Roman" w:cs="Times New Roman"/>
          <w:sz w:val="32"/>
          <w:szCs w:val="32"/>
        </w:rPr>
      </w:pPr>
      <w:hyperlink r:id="rId7" w:history="1">
        <w:r w:rsidR="00CF6F9D" w:rsidRPr="00715C21">
          <w:rPr>
            <w:rStyle w:val="Hyperlink"/>
            <w:rFonts w:ascii="Times New Roman" w:eastAsia="Times New Roman" w:hAnsi="Times New Roman" w:cs="Times New Roman"/>
            <w:sz w:val="32"/>
            <w:szCs w:val="32"/>
          </w:rPr>
          <w:t>https://drive.google.com/file/d/1m2rKseUazTtx4sRn9QGzSyvtO4X5O9NG/view</w:t>
        </w:r>
      </w:hyperlink>
    </w:p>
    <w:p w14:paraId="4B7D553D" w14:textId="77777777" w:rsidR="00CF6F9D" w:rsidRPr="00715C21" w:rsidRDefault="00CF6F9D" w:rsidP="00CF6F9D">
      <w:pPr>
        <w:spacing w:after="0" w:line="240" w:lineRule="auto"/>
        <w:outlineLvl w:val="4"/>
        <w:rPr>
          <w:rFonts w:ascii="Times New Roman" w:eastAsia="Times New Roman" w:hAnsi="Times New Roman" w:cs="Times New Roman"/>
          <w:sz w:val="32"/>
          <w:szCs w:val="32"/>
        </w:rPr>
      </w:pPr>
    </w:p>
    <w:p w14:paraId="223BD350" w14:textId="77777777" w:rsidR="00CF6F9D" w:rsidRPr="00715C21" w:rsidRDefault="00CF6F9D" w:rsidP="00CF6F9D">
      <w:pPr>
        <w:spacing w:after="0" w:line="240" w:lineRule="auto"/>
        <w:ind w:left="720"/>
        <w:outlineLvl w:val="4"/>
        <w:rPr>
          <w:rFonts w:ascii="Times New Roman" w:eastAsia="Times New Roman" w:hAnsi="Times New Roman" w:cs="Times New Roman"/>
          <w:sz w:val="32"/>
          <w:szCs w:val="32"/>
        </w:rPr>
      </w:pPr>
      <w:r w:rsidRPr="00715C21">
        <w:rPr>
          <w:rFonts w:ascii="Times New Roman" w:eastAsia="Times New Roman" w:hAnsi="Times New Roman" w:cs="Times New Roman"/>
          <w:b/>
          <w:sz w:val="32"/>
          <w:szCs w:val="32"/>
        </w:rPr>
        <w:t>California education code section 87153</w:t>
      </w:r>
      <w:r w:rsidRPr="00715C21">
        <w:rPr>
          <w:rFonts w:ascii="Times New Roman" w:eastAsia="Times New Roman" w:hAnsi="Times New Roman" w:cs="Times New Roman"/>
          <w:sz w:val="32"/>
          <w:szCs w:val="32"/>
        </w:rPr>
        <w:t xml:space="preserve"> </w:t>
      </w:r>
      <w:r w:rsidRPr="00715C21">
        <w:rPr>
          <w:rFonts w:ascii="Times New Roman" w:eastAsia="Times New Roman" w:hAnsi="Times New Roman" w:cs="Times New Roman"/>
          <w:b/>
          <w:bCs/>
          <w:sz w:val="32"/>
          <w:szCs w:val="32"/>
        </w:rPr>
        <w:t xml:space="preserve">ARTICLE 5. Community College Faculty and Staff Development Fund [87150 - 87154] </w:t>
      </w:r>
      <w:r w:rsidRPr="00715C21">
        <w:rPr>
          <w:rFonts w:ascii="Times New Roman" w:eastAsia="Times New Roman" w:hAnsi="Times New Roman" w:cs="Times New Roman"/>
          <w:sz w:val="32"/>
          <w:szCs w:val="32"/>
        </w:rPr>
        <w:t>authorized uses of funds allocated under this article shall include all of the following:</w:t>
      </w:r>
    </w:p>
    <w:p w14:paraId="6C2668D8" w14:textId="77777777" w:rsidR="00CF6F9D" w:rsidRPr="00715C21" w:rsidRDefault="00CF6F9D" w:rsidP="00CF6F9D">
      <w:pPr>
        <w:spacing w:after="0" w:line="240" w:lineRule="auto"/>
        <w:ind w:left="720"/>
        <w:outlineLvl w:val="4"/>
        <w:rPr>
          <w:rFonts w:ascii="Times New Roman" w:eastAsia="Times New Roman" w:hAnsi="Times New Roman" w:cs="Times New Roman"/>
          <w:b/>
          <w:bCs/>
          <w:sz w:val="32"/>
          <w:szCs w:val="32"/>
        </w:rPr>
      </w:pPr>
    </w:p>
    <w:p w14:paraId="18911CEF"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(a) Improvement of teaching.</w:t>
      </w:r>
    </w:p>
    <w:p w14:paraId="120FB70C"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(b) Maintenance of current academic and technical knowledge and </w:t>
      </w:r>
    </w:p>
    <w:p w14:paraId="7FEE0000"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      skills.</w:t>
      </w:r>
    </w:p>
    <w:p w14:paraId="68830C7D"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(c) In-service training for vocational education and employment </w:t>
      </w:r>
    </w:p>
    <w:p w14:paraId="0683076F"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      preparation programs.</w:t>
      </w:r>
    </w:p>
    <w:p w14:paraId="6BC0CFA4"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(d) Retraining to meet changing institutional needs.</w:t>
      </w:r>
    </w:p>
    <w:p w14:paraId="5EEAA7C2"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(e) Intersegmental exchange programs.</w:t>
      </w:r>
    </w:p>
    <w:p w14:paraId="6B32ADF1"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(f) Development of innovations in instructional and administrative </w:t>
      </w:r>
    </w:p>
    <w:p w14:paraId="1247E90B"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     techniques and program effectiveness.</w:t>
      </w:r>
    </w:p>
    <w:p w14:paraId="6BC41373"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(g) Computer and technological proficiency programs.</w:t>
      </w:r>
    </w:p>
    <w:p w14:paraId="5C2B156B"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(h) Courses and training implementing affirmative action and </w:t>
      </w:r>
    </w:p>
    <w:p w14:paraId="7BE18069"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      upward mobility programs.</w:t>
      </w:r>
    </w:p>
    <w:p w14:paraId="1508347B"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w:t>
      </w:r>
      <w:proofErr w:type="spellStart"/>
      <w:r w:rsidRPr="00715C21">
        <w:rPr>
          <w:rFonts w:ascii="Times New Roman" w:eastAsia="Times New Roman" w:hAnsi="Times New Roman" w:cs="Times New Roman"/>
          <w:sz w:val="32"/>
          <w:szCs w:val="32"/>
        </w:rPr>
        <w:t>i</w:t>
      </w:r>
      <w:proofErr w:type="spellEnd"/>
      <w:r w:rsidRPr="00715C21">
        <w:rPr>
          <w:rFonts w:ascii="Times New Roman" w:eastAsia="Times New Roman" w:hAnsi="Times New Roman" w:cs="Times New Roman"/>
          <w:sz w:val="32"/>
          <w:szCs w:val="32"/>
        </w:rPr>
        <w:t xml:space="preserve">) Other activities determined to be related to educational and </w:t>
      </w:r>
    </w:p>
    <w:p w14:paraId="76D221BB"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     professional development pursuant to criteria established by the  </w:t>
      </w:r>
    </w:p>
    <w:p w14:paraId="7664F4F9"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     Board of Governors of the California Community Colleges, </w:t>
      </w:r>
    </w:p>
    <w:p w14:paraId="1A16DFFB"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     including, but not necessarily limited to, programs designed to </w:t>
      </w:r>
    </w:p>
    <w:p w14:paraId="7A9B6CD5" w14:textId="77777777" w:rsidR="00CF6F9D" w:rsidRPr="00715C21" w:rsidRDefault="00CF6F9D" w:rsidP="00CF6F9D">
      <w:pPr>
        <w:spacing w:after="0" w:line="240" w:lineRule="auto"/>
        <w:ind w:left="720"/>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     develop self-esteem.</w:t>
      </w:r>
    </w:p>
    <w:p w14:paraId="37AB209D" w14:textId="77777777" w:rsidR="00CF6F9D" w:rsidRPr="00715C21" w:rsidRDefault="00CF6F9D" w:rsidP="00CF6F9D">
      <w:pPr>
        <w:spacing w:after="0"/>
        <w:rPr>
          <w:rFonts w:ascii="Times New Roman" w:hAnsi="Times New Roman" w:cs="Times New Roman"/>
          <w:sz w:val="32"/>
          <w:szCs w:val="32"/>
        </w:rPr>
      </w:pPr>
    </w:p>
    <w:p w14:paraId="3B0EFCFB" w14:textId="77777777" w:rsidR="00CF6F9D" w:rsidRPr="00715C21" w:rsidRDefault="00CF6F9D" w:rsidP="00CF6F9D">
      <w:pPr>
        <w:spacing w:after="0" w:line="240" w:lineRule="auto"/>
        <w:ind w:left="720"/>
        <w:rPr>
          <w:rFonts w:ascii="Times New Roman" w:eastAsia="Times New Roman" w:hAnsi="Times New Roman" w:cs="Times New Roman"/>
          <w:sz w:val="32"/>
          <w:szCs w:val="32"/>
          <w:highlight w:val="yellow"/>
        </w:rPr>
      </w:pPr>
      <w:r w:rsidRPr="00715C21">
        <w:rPr>
          <w:rFonts w:ascii="Times New Roman" w:eastAsia="Times New Roman" w:hAnsi="Times New Roman" w:cs="Times New Roman"/>
          <w:b/>
          <w:sz w:val="32"/>
          <w:szCs w:val="32"/>
        </w:rPr>
        <w:t xml:space="preserve">Professional Learning </w:t>
      </w:r>
      <w:bookmarkStart w:id="0" w:name="_Hlk98331802"/>
      <w:r w:rsidRPr="00715C21">
        <w:rPr>
          <w:rFonts w:ascii="Times New Roman" w:eastAsia="Times New Roman" w:hAnsi="Times New Roman" w:cs="Times New Roman"/>
          <w:b/>
          <w:sz w:val="32"/>
          <w:szCs w:val="32"/>
        </w:rPr>
        <w:t xml:space="preserve">[Development] </w:t>
      </w:r>
      <w:bookmarkEnd w:id="0"/>
      <w:r w:rsidRPr="00715C21">
        <w:rPr>
          <w:rFonts w:ascii="Times New Roman" w:eastAsia="Times New Roman" w:hAnsi="Times New Roman" w:cs="Times New Roman"/>
          <w:b/>
          <w:sz w:val="32"/>
          <w:szCs w:val="32"/>
        </w:rPr>
        <w:t>Activities or events</w:t>
      </w:r>
      <w:r w:rsidRPr="00715C21">
        <w:rPr>
          <w:rFonts w:ascii="Times New Roman" w:eastAsia="Times New Roman" w:hAnsi="Times New Roman" w:cs="Times New Roman"/>
          <w:sz w:val="32"/>
          <w:szCs w:val="32"/>
        </w:rPr>
        <w:t xml:space="preserve"> conducted by ASCCC may also include, but need not be limited to, the following:</w:t>
      </w:r>
    </w:p>
    <w:p w14:paraId="490BE9C6"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Academic Academy</w:t>
      </w:r>
    </w:p>
    <w:p w14:paraId="69141A6F"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Accreditation Institute </w:t>
      </w:r>
    </w:p>
    <w:p w14:paraId="4346F56E"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Area Events or Meetings</w:t>
      </w:r>
    </w:p>
    <w:p w14:paraId="14426663"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Curriculum Institute</w:t>
      </w:r>
    </w:p>
    <w:p w14:paraId="525EAD3E"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Faculty Institute</w:t>
      </w:r>
    </w:p>
    <w:p w14:paraId="15291617"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Leadership Institute</w:t>
      </w:r>
    </w:p>
    <w:p w14:paraId="64413FC7"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Legislative Events</w:t>
      </w:r>
    </w:p>
    <w:p w14:paraId="3638A3D0"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Plenary Sessions</w:t>
      </w:r>
    </w:p>
    <w:p w14:paraId="35F13955"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Regional Meetings</w:t>
      </w:r>
    </w:p>
    <w:p w14:paraId="02313265"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Statewide Events</w:t>
      </w:r>
    </w:p>
    <w:p w14:paraId="34670F3B" w14:textId="77777777" w:rsidR="00CF6F9D"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Teaching Institute </w:t>
      </w:r>
    </w:p>
    <w:p w14:paraId="70C0094C" w14:textId="77777777" w:rsidR="00CF6F9D" w:rsidRPr="008A0E44"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8A0E44">
        <w:rPr>
          <w:rFonts w:ascii="Times New Roman" w:eastAsia="Times New Roman" w:hAnsi="Times New Roman" w:cs="Times New Roman"/>
          <w:sz w:val="32"/>
          <w:szCs w:val="32"/>
        </w:rPr>
        <w:t>Student Learning Outcomes (SLO) Institute</w:t>
      </w:r>
    </w:p>
    <w:p w14:paraId="1231A8AA"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Vocational Education Institute</w:t>
      </w:r>
    </w:p>
    <w:p w14:paraId="16204592" w14:textId="77777777" w:rsidR="00CF6F9D" w:rsidRPr="00715C21" w:rsidRDefault="00CF6F9D" w:rsidP="00CF6F9D">
      <w:pPr>
        <w:pStyle w:val="ListParagraph"/>
        <w:numPr>
          <w:ilvl w:val="1"/>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lastRenderedPageBreak/>
        <w:t>Career and Noncredit Institute</w:t>
      </w:r>
    </w:p>
    <w:p w14:paraId="6F19B446" w14:textId="77777777" w:rsidR="00CF6F9D" w:rsidRPr="00715C21" w:rsidRDefault="00CF6F9D" w:rsidP="00CF6F9D">
      <w:pPr>
        <w:pStyle w:val="ListParagraph"/>
        <w:numPr>
          <w:ilvl w:val="1"/>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Career and Technical Education Coffee Hour</w:t>
      </w:r>
    </w:p>
    <w:p w14:paraId="4825D126" w14:textId="77777777" w:rsidR="00CF6F9D" w:rsidRPr="00715C21" w:rsidRDefault="00CF6F9D" w:rsidP="00CF6F9D">
      <w:pPr>
        <w:pStyle w:val="ListParagraph"/>
        <w:numPr>
          <w:ilvl w:val="1"/>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Open Educational Resources Initiative (OER) Webinars</w:t>
      </w:r>
    </w:p>
    <w:p w14:paraId="6DD5720C" w14:textId="77777777" w:rsidR="00CF6F9D" w:rsidRPr="00715C21" w:rsidRDefault="00CF6F9D" w:rsidP="00CF6F9D">
      <w:pPr>
        <w:pStyle w:val="ListParagraph"/>
        <w:numPr>
          <w:ilvl w:val="1"/>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Part-Time Faculty Institute</w:t>
      </w:r>
    </w:p>
    <w:p w14:paraId="30852EFF" w14:textId="77777777" w:rsidR="00CF6F9D" w:rsidRPr="00715C21" w:rsidRDefault="00CF6F9D" w:rsidP="00CF6F9D">
      <w:pPr>
        <w:pStyle w:val="ListParagraph"/>
        <w:numPr>
          <w:ilvl w:val="0"/>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 xml:space="preserve">Other </w:t>
      </w:r>
    </w:p>
    <w:p w14:paraId="0068B133" w14:textId="77777777" w:rsidR="00CF6F9D" w:rsidRPr="00715C21" w:rsidRDefault="00CF6F9D" w:rsidP="00CF6F9D">
      <w:pPr>
        <w:pStyle w:val="ListParagraph"/>
        <w:numPr>
          <w:ilvl w:val="1"/>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Minimum Qualifications/Equivalency Webinars</w:t>
      </w:r>
    </w:p>
    <w:p w14:paraId="4B62ACB8" w14:textId="77777777" w:rsidR="00CF6F9D" w:rsidRPr="00715C21" w:rsidRDefault="00CF6F9D" w:rsidP="00CF6F9D">
      <w:pPr>
        <w:pStyle w:val="ListParagraph"/>
        <w:numPr>
          <w:ilvl w:val="1"/>
          <w:numId w:val="1"/>
        </w:numPr>
        <w:spacing w:after="0" w:line="240" w:lineRule="auto"/>
        <w:rPr>
          <w:rFonts w:ascii="Times New Roman" w:eastAsia="Times New Roman" w:hAnsi="Times New Roman" w:cs="Times New Roman"/>
          <w:sz w:val="32"/>
          <w:szCs w:val="32"/>
        </w:rPr>
      </w:pPr>
      <w:r w:rsidRPr="00715C21">
        <w:rPr>
          <w:rFonts w:ascii="Times New Roman" w:eastAsia="Times New Roman" w:hAnsi="Times New Roman" w:cs="Times New Roman"/>
          <w:sz w:val="32"/>
          <w:szCs w:val="32"/>
        </w:rPr>
        <w:t>Grant Events (Discipline Input Group, Cal Open Educational Resources (OER), etc.)</w:t>
      </w:r>
    </w:p>
    <w:p w14:paraId="2388FBB8" w14:textId="77777777" w:rsidR="00CF6F9D" w:rsidRPr="00715C21" w:rsidRDefault="00CF6F9D" w:rsidP="00CF6F9D">
      <w:pPr>
        <w:spacing w:after="0"/>
        <w:rPr>
          <w:rFonts w:ascii="Times New Roman" w:hAnsi="Times New Roman" w:cs="Times New Roman"/>
          <w:sz w:val="32"/>
          <w:szCs w:val="32"/>
        </w:rPr>
      </w:pPr>
    </w:p>
    <w:p w14:paraId="592D80C8" w14:textId="77777777" w:rsidR="00CF6F9D" w:rsidRPr="00715C21" w:rsidRDefault="00CF6F9D" w:rsidP="00CF6F9D">
      <w:pPr>
        <w:spacing w:after="0"/>
        <w:rPr>
          <w:rFonts w:ascii="Times New Roman" w:hAnsi="Times New Roman" w:cs="Times New Roman"/>
          <w:sz w:val="32"/>
          <w:szCs w:val="32"/>
        </w:rPr>
      </w:pPr>
      <w:r w:rsidRPr="00715C21">
        <w:rPr>
          <w:rFonts w:ascii="Times New Roman" w:hAnsi="Times New Roman" w:cs="Times New Roman"/>
          <w:b/>
          <w:bCs/>
          <w:sz w:val="32"/>
          <w:szCs w:val="32"/>
        </w:rPr>
        <w:t>The Americans with Disabilities Act (ADA)</w:t>
      </w:r>
      <w:r w:rsidRPr="00715C21">
        <w:rPr>
          <w:rFonts w:ascii="Times New Roman" w:hAnsi="Times New Roman" w:cs="Times New Roman"/>
          <w:sz w:val="32"/>
          <w:szCs w:val="32"/>
        </w:rPr>
        <w:t xml:space="preserve"> prohibits discrimination against people with disabilities in several areas, including employment, transportation, public accommodations, communications</w:t>
      </w:r>
      <w:r w:rsidRPr="00F96779">
        <w:rPr>
          <w:rFonts w:ascii="Times New Roman" w:hAnsi="Times New Roman" w:cs="Times New Roman"/>
          <w:sz w:val="32"/>
          <w:szCs w:val="32"/>
        </w:rPr>
        <w:t>,</w:t>
      </w:r>
      <w:r w:rsidRPr="00715C21">
        <w:rPr>
          <w:rFonts w:ascii="Times New Roman" w:hAnsi="Times New Roman" w:cs="Times New Roman"/>
          <w:sz w:val="32"/>
          <w:szCs w:val="32"/>
        </w:rPr>
        <w:t xml:space="preserve"> and access to state and local government programs and services.</w:t>
      </w:r>
    </w:p>
    <w:p w14:paraId="41B268AD" w14:textId="77777777" w:rsidR="00CF6F9D" w:rsidRDefault="00CF6F9D" w:rsidP="00CF6F9D"/>
    <w:p w14:paraId="1F69137B" w14:textId="77777777" w:rsidR="00AF7480" w:rsidRDefault="00AF7480"/>
    <w:sectPr w:rsidR="00AF74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6A82" w14:textId="77777777" w:rsidR="000F17D5" w:rsidRDefault="000F17D5">
      <w:pPr>
        <w:spacing w:after="0" w:line="240" w:lineRule="auto"/>
      </w:pPr>
      <w:r>
        <w:separator/>
      </w:r>
    </w:p>
  </w:endnote>
  <w:endnote w:type="continuationSeparator" w:id="0">
    <w:p w14:paraId="3AF88A70" w14:textId="77777777" w:rsidR="000F17D5" w:rsidRDefault="000F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3190" w14:textId="77777777" w:rsidR="00A3676F" w:rsidRDefault="00CF6F9D">
    <w:pPr>
      <w:pStyle w:val="Footer"/>
    </w:pPr>
    <w:r>
      <w:rPr>
        <w:noProof/>
      </w:rPr>
      <mc:AlternateContent>
        <mc:Choice Requires="wpg">
          <w:drawing>
            <wp:anchor distT="0" distB="0" distL="114300" distR="114300" simplePos="0" relativeHeight="251659264" behindDoc="0" locked="0" layoutInCell="1" allowOverlap="1" wp14:anchorId="0E08DD6F" wp14:editId="0523AA0B">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67D86" w14:textId="66BB5579" w:rsidR="00A3676F" w:rsidRDefault="000F17D5">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0249B9">
                                  <w:rPr>
                                    <w:color w:val="808080" w:themeColor="background1" w:themeShade="80"/>
                                    <w:sz w:val="20"/>
                                    <w:szCs w:val="20"/>
                                  </w:rPr>
                                  <w:t xml:space="preserve">     </w:t>
                                </w:r>
                              </w:sdtContent>
                            </w:sdt>
                            <w:r w:rsidR="00CF6F9D">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CF6F9D">
                                  <w:rPr>
                                    <w:caps/>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E08DD6F"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">
              <v:rect id="Rectangle 156" o:spid="_x0000_s1027" style="position:absolute;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6lI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wziGh1HYQM7vAAAA//8DAFBLAQItABQABgAIAAAAIQDb4fbL7gAAAIUBAAATAAAA&#13;&#10;AAAAAAAAAAAAAAAAAABbQ29udGVudF9UeXBlc10ueG1sUEsBAi0AFAAGAAgAAAAhAFr0LFu/AAAA&#13;&#10;FQEAAAsAAAAAAAAAAAAAAAAAHwEAAF9yZWxzLy5yZWxzUEsBAi0AFAAGAAgAAAAhAMM/qUj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" filled="f" stroked="f" strokeweight=".5pt">
                <v:textbox style="mso-fit-shape-to-text:t" inset="0,,0">
                  <w:txbxContent>
                    <w:p w14:paraId="74667D86" w14:textId="66BB5579" w:rsidR="00A3676F" w:rsidRDefault="000F17D5">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0249B9">
                            <w:rPr>
                              <w:color w:val="808080" w:themeColor="background1" w:themeShade="80"/>
                              <w:sz w:val="20"/>
                              <w:szCs w:val="20"/>
                            </w:rPr>
                            <w:t xml:space="preserve">     </w:t>
                          </w:r>
                        </w:sdtContent>
                      </w:sdt>
                      <w:r w:rsidR="00CF6F9D">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CF6F9D">
                            <w:rPr>
                              <w:caps/>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A2E5" w14:textId="77777777" w:rsidR="000F17D5" w:rsidRDefault="000F17D5">
      <w:pPr>
        <w:spacing w:after="0" w:line="240" w:lineRule="auto"/>
      </w:pPr>
      <w:r>
        <w:separator/>
      </w:r>
    </w:p>
  </w:footnote>
  <w:footnote w:type="continuationSeparator" w:id="0">
    <w:p w14:paraId="1A029959" w14:textId="77777777" w:rsidR="000F17D5" w:rsidRDefault="000F1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1DE1"/>
    <w:multiLevelType w:val="hybridMultilevel"/>
    <w:tmpl w:val="E216FF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4493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9D"/>
    <w:rsid w:val="000249B9"/>
    <w:rsid w:val="000F17D5"/>
    <w:rsid w:val="004955E4"/>
    <w:rsid w:val="00AF7480"/>
    <w:rsid w:val="00C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F6B45"/>
  <w15:chartTrackingRefBased/>
  <w15:docId w15:val="{45CC0618-D71F-9246-AFA0-5145BFBB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4955E4"/>
    <w:pPr>
      <w:spacing w:before="120"/>
    </w:pPr>
    <w:rPr>
      <w:rFonts w:cstheme="minorHAnsi"/>
      <w:b/>
      <w:bCs/>
      <w:i/>
      <w:iCs/>
    </w:rPr>
  </w:style>
  <w:style w:type="paragraph" w:styleId="ListParagraph">
    <w:name w:val="List Paragraph"/>
    <w:basedOn w:val="Normal"/>
    <w:uiPriority w:val="34"/>
    <w:qFormat/>
    <w:rsid w:val="00CF6F9D"/>
    <w:pPr>
      <w:ind w:left="720"/>
      <w:contextualSpacing/>
    </w:pPr>
  </w:style>
  <w:style w:type="character" w:styleId="Hyperlink">
    <w:name w:val="Hyperlink"/>
    <w:basedOn w:val="DefaultParagraphFont"/>
    <w:uiPriority w:val="99"/>
    <w:unhideWhenUsed/>
    <w:rsid w:val="00CF6F9D"/>
    <w:rPr>
      <w:color w:val="0563C1" w:themeColor="hyperlink"/>
      <w:u w:val="single"/>
    </w:rPr>
  </w:style>
  <w:style w:type="paragraph" w:styleId="Header">
    <w:name w:val="header"/>
    <w:basedOn w:val="Normal"/>
    <w:link w:val="HeaderChar"/>
    <w:uiPriority w:val="99"/>
    <w:unhideWhenUsed/>
    <w:rsid w:val="00CF6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9D"/>
    <w:rPr>
      <w:sz w:val="22"/>
      <w:szCs w:val="22"/>
    </w:rPr>
  </w:style>
  <w:style w:type="paragraph" w:styleId="Footer">
    <w:name w:val="footer"/>
    <w:basedOn w:val="Normal"/>
    <w:link w:val="FooterChar"/>
    <w:uiPriority w:val="99"/>
    <w:unhideWhenUsed/>
    <w:rsid w:val="00CF6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m2rKseUazTtx4sRn9QGzSyvtO4X5O9NG/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Krystinne Mica</cp:lastModifiedBy>
  <cp:revision>2</cp:revision>
  <dcterms:created xsi:type="dcterms:W3CDTF">2022-04-21T18:36:00Z</dcterms:created>
  <dcterms:modified xsi:type="dcterms:W3CDTF">2022-04-21T18:40:00Z</dcterms:modified>
</cp:coreProperties>
</file>